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5B" w:rsidRDefault="00183E5B" w:rsidP="00183E5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Sévérité de la paralysie selon l’échelle de House </w:t>
      </w:r>
      <w:proofErr w:type="spellStart"/>
      <w:r>
        <w:rPr>
          <w:sz w:val="22"/>
          <w:szCs w:val="22"/>
        </w:rPr>
        <w:t>Brackmann</w:t>
      </w:r>
      <w:proofErr w:type="spellEnd"/>
    </w:p>
    <w:tbl>
      <w:tblPr>
        <w:tblW w:w="85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2159"/>
        <w:gridCol w:w="6440"/>
      </w:tblGrid>
      <w:tr w:rsidR="00183E5B" w:rsidTr="001A06C5">
        <w:trPr>
          <w:trHeight w:val="290"/>
          <w:tblHeader/>
        </w:trPr>
        <w:tc>
          <w:tcPr>
            <w:tcW w:w="2159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  <w:lang w:val="sv-SE"/>
              </w:rPr>
              <w:t>grade</w:t>
            </w:r>
            <w:r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  <w:lang w:val="sv-SE"/>
              </w:rPr>
              <w:tab/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  <w:lang w:val="sv-SE"/>
              </w:rPr>
              <w:t>Characté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</w:rPr>
              <w:t>ristique</w:t>
            </w:r>
            <w:proofErr w:type="spellEnd"/>
          </w:p>
        </w:tc>
      </w:tr>
      <w:tr w:rsidR="00183E5B" w:rsidTr="001A06C5">
        <w:trPr>
          <w:trHeight w:val="630"/>
        </w:trPr>
        <w:tc>
          <w:tcPr>
            <w:tcW w:w="2159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  <w:t xml:space="preserve">I 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normale</w:t>
            </w:r>
          </w:p>
        </w:tc>
        <w:tc>
          <w:tcPr>
            <w:tcW w:w="6440" w:type="dxa"/>
            <w:tcBorders>
              <w:top w:val="single" w:sz="8" w:space="0" w:color="406091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fonction normale</w:t>
            </w:r>
          </w:p>
        </w:tc>
      </w:tr>
      <w:tr w:rsidR="00183E5B" w:rsidTr="001A06C5">
        <w:trPr>
          <w:trHeight w:val="241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  <w:t xml:space="preserve">II 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dysfonction légère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générale: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peu de faiblesse  à l’inspection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peu de syncinésie c.-a-d. peu de mouvement involontaire à la contraction d’un autre muscle  (Ex. de syncinésie : mouvement du  visage entier lorsque l’on veut fermer l’œil)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tonus/symétrie normal au repos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mouvement: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- front: </w:t>
            </w:r>
            <w:proofErr w:type="spellStart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hypomobilité</w:t>
            </w:r>
            <w:proofErr w:type="spellEnd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 légère à modérée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œil: fermeture complète sans effort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bouche: légère asymétrie</w:t>
            </w:r>
          </w:p>
        </w:tc>
      </w:tr>
      <w:tr w:rsidR="00183E5B" w:rsidRPr="00264F39" w:rsidTr="001A06C5">
        <w:trPr>
          <w:trHeight w:val="56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  <w:t>III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dysfonction modérée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générale: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-faiblesse visible mais non </w:t>
            </w:r>
            <w:proofErr w:type="spellStart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défigurante</w:t>
            </w:r>
            <w:proofErr w:type="spellEnd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 des deux côtés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syncinésie modérée, pas/peu de contracture ou spasme hémifaciale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tonus/symétrie normal au repos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mouvement: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- front: </w:t>
            </w:r>
            <w:proofErr w:type="spellStart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hypomobilité</w:t>
            </w:r>
            <w:proofErr w:type="spellEnd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 légère à modérée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œil: fermeture complète avec effort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bouche: peu de faiblesse avec effort</w:t>
            </w:r>
          </w:p>
        </w:tc>
      </w:tr>
      <w:tr w:rsidR="00183E5B" w:rsidRPr="00264F39" w:rsidTr="001A06C5">
        <w:trPr>
          <w:trHeight w:val="56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IV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dysfonction modérée à</w:t>
            </w:r>
            <w:r>
              <w:rPr>
                <w:rFonts w:ascii="Helvetica" w:eastAsia="Times New Roman" w:hAnsi="Helvetica" w:cs="Helvetica"/>
                <w:color w:val="FEFFFE"/>
                <w:sz w:val="18"/>
                <w:szCs w:val="18"/>
                <w:u w:color="FEFFFE"/>
              </w:rPr>
              <w:t xml:space="preserve"> </w:t>
            </w: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sévère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générale:</w:t>
            </w:r>
          </w:p>
          <w:p w:rsidR="00183E5B" w:rsidRDefault="00183E5B" w:rsidP="00183E5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360"/>
              </w:tabs>
              <w:ind w:left="291" w:hanging="291"/>
              <w:rPr>
                <w:rFonts w:ascii="Comic Sans MS" w:eastAsia="Times New Roman" w:hAnsi="Comic Sans MS" w:cs="Comic Sans MS"/>
                <w:lang w:val="en-US"/>
              </w:rPr>
            </w:pPr>
            <w:r>
              <w:rPr>
                <w:rFonts w:ascii="Comic Sans MS" w:eastAsia="Times New Roman"/>
                <w:sz w:val="18"/>
                <w:szCs w:val="18"/>
              </w:rPr>
              <w:t>asym</w:t>
            </w:r>
            <w:r>
              <w:rPr>
                <w:rFonts w:eastAsia="Times New Roman" w:hAnsi="Comic Sans MS"/>
                <w:sz w:val="18"/>
                <w:szCs w:val="18"/>
              </w:rPr>
              <w:t>é</w:t>
            </w:r>
            <w:r>
              <w:rPr>
                <w:rFonts w:ascii="Comic Sans MS" w:eastAsia="Times New Roman"/>
                <w:sz w:val="18"/>
                <w:szCs w:val="18"/>
              </w:rPr>
              <w:t xml:space="preserve">trie </w:t>
            </w:r>
            <w:r>
              <w:rPr>
                <w:rFonts w:eastAsia="Times New Roman" w:hAnsi="Comic Sans MS"/>
                <w:sz w:val="18"/>
                <w:szCs w:val="18"/>
              </w:rPr>
              <w:t>é</w:t>
            </w:r>
            <w:r>
              <w:rPr>
                <w:rFonts w:ascii="Comic Sans MS" w:eastAsia="Times New Roman"/>
                <w:sz w:val="18"/>
                <w:szCs w:val="18"/>
              </w:rPr>
              <w:t xml:space="preserve">vidente ou </w:t>
            </w:r>
            <w:proofErr w:type="spellStart"/>
            <w:r>
              <w:rPr>
                <w:rFonts w:ascii="Comic Sans MS" w:eastAsia="Times New Roman"/>
                <w:sz w:val="18"/>
                <w:szCs w:val="18"/>
              </w:rPr>
              <w:t>d</w:t>
            </w:r>
            <w:r>
              <w:rPr>
                <w:rFonts w:eastAsia="Times New Roman" w:hAnsi="Comic Sans MS"/>
                <w:sz w:val="18"/>
                <w:szCs w:val="18"/>
              </w:rPr>
              <w:t>é</w:t>
            </w:r>
            <w:r>
              <w:rPr>
                <w:rFonts w:ascii="Comic Sans MS" w:eastAsia="Times New Roman"/>
                <w:sz w:val="18"/>
                <w:szCs w:val="18"/>
              </w:rPr>
              <w:t>figurante</w:t>
            </w:r>
            <w:proofErr w:type="spellEnd"/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mouvement: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- front: </w:t>
            </w:r>
            <w:proofErr w:type="spellStart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hypomobilité</w:t>
            </w:r>
            <w:proofErr w:type="spellEnd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 modérée à sévère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œil: fermeture incomplète avec effort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bouche: peu d’asymétrie avec effort</w:t>
            </w:r>
          </w:p>
        </w:tc>
      </w:tr>
      <w:tr w:rsidR="00183E5B" w:rsidTr="001A06C5">
        <w:trPr>
          <w:trHeight w:val="168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  <w:t>V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dysfonction sévère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générale: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asymétrie évidente ou défigurant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mouvement: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- front: </w:t>
            </w:r>
            <w:proofErr w:type="spellStart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hypomobilité</w:t>
            </w:r>
            <w:proofErr w:type="spellEnd"/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 xml:space="preserve"> sévère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œil: fermeture incomplète avec effort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- bouche: asymétrie avec effort</w:t>
            </w:r>
          </w:p>
        </w:tc>
      </w:tr>
      <w:tr w:rsidR="00183E5B" w:rsidTr="001A06C5">
        <w:trPr>
          <w:trHeight w:val="56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48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Comic Sans MS"/>
                <w:sz w:val="18"/>
                <w:szCs w:val="18"/>
                <w:lang w:val="en-US"/>
              </w:rPr>
              <w:t>VI</w:t>
            </w:r>
          </w:p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color w:val="FEFFFE"/>
                <w:sz w:val="18"/>
                <w:szCs w:val="18"/>
                <w:u w:color="FEFFFE"/>
              </w:rPr>
              <w:t>paralysie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E5B" w:rsidRDefault="00183E5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Comic Sans MS" w:eastAsia="Times New Roman" w:hAnsi="Comic Sans MS" w:cs="Comic Sans MS"/>
                <w:sz w:val="18"/>
                <w:szCs w:val="18"/>
              </w:rPr>
              <w:t>aucun mouvement</w:t>
            </w:r>
          </w:p>
        </w:tc>
      </w:tr>
    </w:tbl>
    <w:p w:rsidR="00BF7255" w:rsidRDefault="00BF7255"/>
    <w:sectPr w:rsidR="00BF7255" w:rsidSect="00BF72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D6E"/>
    <w:multiLevelType w:val="multilevel"/>
    <w:tmpl w:val="FFFFFFFF"/>
    <w:styleLink w:val="List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11"/>
        </w:tabs>
        <w:ind w:left="61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091"/>
        </w:tabs>
        <w:ind w:left="109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71"/>
        </w:tabs>
        <w:ind w:left="157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051"/>
        </w:tabs>
        <w:ind w:left="2051" w:hanging="147"/>
      </w:pPr>
      <w:rPr>
        <w:rFonts w:ascii="Comic Sans MS" w:eastAsia="Times New Roman" w:hAnsi="Comic Sans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E5B"/>
    <w:rsid w:val="00183E5B"/>
    <w:rsid w:val="00B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uiPriority w:val="99"/>
    <w:rsid w:val="00183E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fr-FR" w:eastAsia="fr-CA"/>
    </w:rPr>
  </w:style>
  <w:style w:type="paragraph" w:customStyle="1" w:styleId="TableNormalParagraph">
    <w:name w:val="Table Normal Paragraph"/>
    <w:uiPriority w:val="99"/>
    <w:rsid w:val="00183E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fr-FR" w:eastAsia="fr-CA"/>
    </w:rPr>
  </w:style>
  <w:style w:type="numbering" w:customStyle="1" w:styleId="List7">
    <w:name w:val="List 7"/>
    <w:rsid w:val="00183E5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</dc:creator>
  <cp:lastModifiedBy>Jeannot</cp:lastModifiedBy>
  <cp:revision>1</cp:revision>
  <dcterms:created xsi:type="dcterms:W3CDTF">2014-01-23T19:47:00Z</dcterms:created>
  <dcterms:modified xsi:type="dcterms:W3CDTF">2014-01-23T19:48:00Z</dcterms:modified>
</cp:coreProperties>
</file>